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51" w:rsidRDefault="00CE6A51" w:rsidP="00CE6A51">
      <w:pPr>
        <w:widowControl/>
        <w:jc w:val="left"/>
        <w:rPr>
          <w:rFonts w:ascii="Times New Roman" w:eastAsia="方正仿宋简体" w:hAnsi="Times New Roman" w:cs="Times New Roman"/>
          <w:b/>
          <w:szCs w:val="21"/>
        </w:rPr>
      </w:pPr>
    </w:p>
    <w:p w:rsidR="00CE6A51" w:rsidRDefault="00CE6A51" w:rsidP="00CE6A51">
      <w:pPr>
        <w:jc w:val="center"/>
        <w:rPr>
          <w:rFonts w:ascii="Times New Roman" w:eastAsia="方正仿宋简体" w:hAnsi="Times New Roman" w:cs="Times New Roman"/>
          <w:b/>
          <w:szCs w:val="21"/>
        </w:rPr>
      </w:pPr>
    </w:p>
    <w:p w:rsidR="00CE6A51" w:rsidRPr="0088567F" w:rsidRDefault="00CE6A51" w:rsidP="00CE6A51">
      <w:pPr>
        <w:jc w:val="center"/>
        <w:rPr>
          <w:rFonts w:ascii="Times New Roman" w:eastAsia="方正仿宋简体" w:hAnsi="Times New Roman" w:cs="Times New Roman"/>
          <w:b/>
          <w:szCs w:val="21"/>
        </w:rPr>
      </w:pPr>
    </w:p>
    <w:p w:rsidR="00CE6A51" w:rsidRPr="003949BB" w:rsidRDefault="00CE6A51" w:rsidP="00CE6A51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3949BB">
        <w:rPr>
          <w:rFonts w:ascii="Times New Roman" w:eastAsia="方正小标宋简体" w:hAnsi="Times New Roman" w:cs="Times New Roman"/>
          <w:sz w:val="40"/>
          <w:szCs w:val="40"/>
        </w:rPr>
        <w:t>嘉实沪深</w:t>
      </w:r>
      <w:r w:rsidRPr="003949BB">
        <w:rPr>
          <w:rFonts w:ascii="Times New Roman" w:eastAsia="方正小标宋简体" w:hAnsi="Times New Roman" w:cs="Times New Roman"/>
          <w:sz w:val="40"/>
          <w:szCs w:val="40"/>
        </w:rPr>
        <w:t>300ETF</w:t>
      </w:r>
      <w:r w:rsidRPr="003949BB">
        <w:rPr>
          <w:rFonts w:ascii="Times New Roman" w:eastAsia="方正小标宋简体" w:hAnsi="Times New Roman" w:cs="Times New Roman"/>
          <w:sz w:val="40"/>
          <w:szCs w:val="40"/>
        </w:rPr>
        <w:t>期权合约调整问答</w:t>
      </w:r>
    </w:p>
    <w:p w:rsidR="00CE6A51" w:rsidRPr="0088567F" w:rsidRDefault="00CE6A51" w:rsidP="00CE6A51">
      <w:pPr>
        <w:jc w:val="center"/>
        <w:rPr>
          <w:rFonts w:ascii="Times New Roman" w:eastAsia="方正仿宋简体" w:hAnsi="Times New Roman" w:cs="Times New Roman"/>
          <w:b/>
          <w:szCs w:val="21"/>
        </w:rPr>
      </w:pPr>
    </w:p>
    <w:p w:rsidR="00CE6A51" w:rsidRPr="0088567F" w:rsidRDefault="00CE6A51" w:rsidP="00CE6A51">
      <w:pPr>
        <w:jc w:val="center"/>
        <w:rPr>
          <w:rFonts w:ascii="Times New Roman" w:eastAsia="方正仿宋简体" w:hAnsi="Times New Roman" w:cs="Times New Roman"/>
          <w:b/>
          <w:szCs w:val="21"/>
        </w:rPr>
      </w:pPr>
    </w:p>
    <w:p w:rsidR="00CE6A51" w:rsidRPr="0088567F" w:rsidRDefault="00CE6A51" w:rsidP="00CE6A51">
      <w:pPr>
        <w:jc w:val="center"/>
        <w:rPr>
          <w:rFonts w:ascii="Times New Roman" w:eastAsia="方正仿宋简体" w:hAnsi="Times New Roman" w:cs="Times New Roman"/>
          <w:b/>
          <w:szCs w:val="21"/>
        </w:rPr>
      </w:pP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根据嘉实基金管理有限公司公告，嘉实沪深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交易型开放式指数证券投资基金（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基金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简称“嘉实沪深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”，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基金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代码“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159919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”）将于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2020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年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9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14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日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分红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深圳证券交易所（以下简称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本所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）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将根据《深圳证券交易所股票期权试点交易规则》，于同日对嘉实沪深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期权所有未到期合约进行相应调整，并重新挂牌新的期权合约。这是嘉实沪深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期权自上市以来进行的首次合约调整，有哪些事项需要特别关注？我们一起来了解一下。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. 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问：嘉实沪深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分红，为什么要对未到期的期权合约进行调整？为什么要加挂新的期权合约？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答：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期权合约标的发生分红等权益变动时，为了保证期权合约买卖双方的权利义务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不受合约标的权益变动的影响，需要对未到期合约进行调整。期权合约调整后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，合约面值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（合约单位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×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行权价格）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不变，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合约市值（合约单位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×</w:t>
      </w:r>
      <w:r w:rsidR="00B509B0">
        <w:rPr>
          <w:rFonts w:ascii="Times New Roman" w:eastAsia="方正仿宋简体" w:hAnsi="Times New Roman" w:cs="Times New Roman" w:hint="eastAsia"/>
          <w:sz w:val="28"/>
          <w:szCs w:val="28"/>
        </w:rPr>
        <w:t>合约前</w:t>
      </w:r>
      <w:bookmarkStart w:id="0" w:name="_GoBack"/>
      <w:bookmarkEnd w:id="0"/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结算价）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基本不变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原合约调整后，合约单位、行权价格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发生改变，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成为非标准合约。同时，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新加挂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相应的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标准合约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以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方便投资者交易。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. 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问：嘉实沪深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期权合约调整具体涉及哪些方面？如何进行调整？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答：对嘉实沪深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所有未到期合约的调整具体涉及行权价格、合约单位、合约代码和合约简称。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（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）调整系数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=[ 9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11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日嘉实沪深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收盘价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]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/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[ 9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11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lastRenderedPageBreak/>
        <w:t>日嘉实沪深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收盘价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-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现金红利（即每份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0.152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元）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]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新合约单位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=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原合约单位（即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10000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份）×调整系数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调整后的合约单位，按照四舍五入原则取整数。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（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2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）新行权价格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=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原行权价格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/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调整系数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调整后的行权价格，按照四舍五入的原则保留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位小数。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（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）合约代码的第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19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位调整为“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A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”，表示期权合约发生首次调整，其他位保持不变。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（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4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）合约简称中的行权价格调整为新行权价格，同时将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最后的标志位设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为“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A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”。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本次嘉实沪深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每份基金份额分红为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0.152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元，由于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9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11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日嘉实沪深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收盘价未知，以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8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26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日嘉实沪深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收盘价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4.845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元为例，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购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4900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合约的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调整如下：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2478"/>
        <w:gridCol w:w="2306"/>
        <w:gridCol w:w="1176"/>
        <w:gridCol w:w="1176"/>
      </w:tblGrid>
      <w:tr w:rsidR="00CE6A51" w:rsidRPr="00284926" w:rsidTr="00763E1E">
        <w:trPr>
          <w:jc w:val="center"/>
        </w:trPr>
        <w:tc>
          <w:tcPr>
            <w:tcW w:w="0" w:type="auto"/>
          </w:tcPr>
          <w:p w:rsidR="00CE6A51" w:rsidRPr="0028492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 w:rsidRPr="00284926">
              <w:rPr>
                <w:rFonts w:ascii="Times New Roman" w:eastAsia="方正仿宋简体" w:hAnsi="Times New Roman" w:hint="eastAsia"/>
                <w:sz w:val="24"/>
                <w:szCs w:val="28"/>
              </w:rPr>
              <w:t>合约编码</w:t>
            </w:r>
          </w:p>
        </w:tc>
        <w:tc>
          <w:tcPr>
            <w:tcW w:w="0" w:type="auto"/>
          </w:tcPr>
          <w:p w:rsidR="00CE6A51" w:rsidRPr="0028492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 w:rsidRPr="00284926">
              <w:rPr>
                <w:rFonts w:ascii="Times New Roman" w:eastAsia="方正仿宋简体" w:hAnsi="Times New Roman" w:hint="eastAsia"/>
                <w:sz w:val="24"/>
                <w:szCs w:val="28"/>
              </w:rPr>
              <w:t>合约代码</w:t>
            </w:r>
          </w:p>
        </w:tc>
        <w:tc>
          <w:tcPr>
            <w:tcW w:w="0" w:type="auto"/>
          </w:tcPr>
          <w:p w:rsidR="00CE6A51" w:rsidRPr="0028492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 w:rsidRPr="00284926">
              <w:rPr>
                <w:rFonts w:ascii="Times New Roman" w:eastAsia="方正仿宋简体" w:hAnsi="Times New Roman" w:hint="eastAsia"/>
                <w:sz w:val="24"/>
                <w:szCs w:val="28"/>
              </w:rPr>
              <w:t>合约简称</w:t>
            </w:r>
          </w:p>
        </w:tc>
        <w:tc>
          <w:tcPr>
            <w:tcW w:w="0" w:type="auto"/>
          </w:tcPr>
          <w:p w:rsidR="00CE6A51" w:rsidRPr="0028492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 w:rsidRPr="00284926">
              <w:rPr>
                <w:rFonts w:ascii="Times New Roman" w:eastAsia="方正仿宋简体" w:hAnsi="Times New Roman" w:hint="eastAsia"/>
                <w:sz w:val="24"/>
                <w:szCs w:val="28"/>
              </w:rPr>
              <w:t>行权价格</w:t>
            </w:r>
          </w:p>
        </w:tc>
        <w:tc>
          <w:tcPr>
            <w:tcW w:w="0" w:type="auto"/>
          </w:tcPr>
          <w:p w:rsidR="00CE6A51" w:rsidRPr="0028492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 w:rsidRPr="00284926">
              <w:rPr>
                <w:rFonts w:ascii="Times New Roman" w:eastAsia="方正仿宋简体" w:hAnsi="Times New Roman" w:hint="eastAsia"/>
                <w:sz w:val="24"/>
                <w:szCs w:val="28"/>
              </w:rPr>
              <w:t>合约单位</w:t>
            </w:r>
          </w:p>
        </w:tc>
      </w:tr>
      <w:tr w:rsidR="00CE6A51" w:rsidRPr="00284926" w:rsidTr="00763E1E">
        <w:trPr>
          <w:jc w:val="center"/>
        </w:trPr>
        <w:tc>
          <w:tcPr>
            <w:tcW w:w="0" w:type="auto"/>
            <w:gridSpan w:val="5"/>
          </w:tcPr>
          <w:p w:rsidR="00CE6A51" w:rsidRPr="0028492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 w:rsidRPr="00284926">
              <w:rPr>
                <w:rFonts w:ascii="Times New Roman" w:eastAsia="方正仿宋简体" w:hAnsi="Times New Roman"/>
                <w:sz w:val="24"/>
                <w:szCs w:val="28"/>
              </w:rPr>
              <w:t>合约调整前</w:t>
            </w:r>
          </w:p>
        </w:tc>
      </w:tr>
      <w:tr w:rsidR="00CE6A51" w:rsidRPr="00284926" w:rsidTr="00763E1E">
        <w:trPr>
          <w:jc w:val="center"/>
        </w:trPr>
        <w:tc>
          <w:tcPr>
            <w:tcW w:w="0" w:type="auto"/>
          </w:tcPr>
          <w:p w:rsidR="00CE6A51" w:rsidRPr="0051154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2"/>
                <w:szCs w:val="28"/>
              </w:rPr>
            </w:pP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90000291</w:t>
            </w:r>
          </w:p>
        </w:tc>
        <w:tc>
          <w:tcPr>
            <w:tcW w:w="0" w:type="auto"/>
          </w:tcPr>
          <w:p w:rsidR="00CE6A51" w:rsidRPr="0051154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2"/>
                <w:szCs w:val="28"/>
              </w:rPr>
            </w:pPr>
            <w:r w:rsidRPr="00511546">
              <w:rPr>
                <w:rFonts w:ascii="Times New Roman" w:eastAsia="方正仿宋简体" w:hAnsi="Times New Roman"/>
                <w:sz w:val="22"/>
                <w:szCs w:val="28"/>
              </w:rPr>
              <w:t>159919C2009M004</w:t>
            </w: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9</w:t>
            </w:r>
            <w:r w:rsidRPr="00511546">
              <w:rPr>
                <w:rFonts w:ascii="Times New Roman" w:eastAsia="方正仿宋简体" w:hAnsi="Times New Roman"/>
                <w:sz w:val="22"/>
                <w:szCs w:val="28"/>
              </w:rPr>
              <w:t>00</w:t>
            </w:r>
          </w:p>
        </w:tc>
        <w:tc>
          <w:tcPr>
            <w:tcW w:w="0" w:type="auto"/>
          </w:tcPr>
          <w:p w:rsidR="00CE6A51" w:rsidRPr="0051154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2"/>
                <w:szCs w:val="28"/>
              </w:rPr>
            </w:pP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300ETF</w:t>
            </w: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购</w:t>
            </w: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9</w:t>
            </w: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月</w:t>
            </w: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4900</w:t>
            </w:r>
          </w:p>
        </w:tc>
        <w:tc>
          <w:tcPr>
            <w:tcW w:w="0" w:type="auto"/>
          </w:tcPr>
          <w:p w:rsidR="00CE6A51" w:rsidRPr="0051154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2"/>
                <w:szCs w:val="28"/>
              </w:rPr>
            </w:pP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4.900</w:t>
            </w:r>
          </w:p>
        </w:tc>
        <w:tc>
          <w:tcPr>
            <w:tcW w:w="0" w:type="auto"/>
          </w:tcPr>
          <w:p w:rsidR="00CE6A51" w:rsidRPr="0051154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2"/>
                <w:szCs w:val="28"/>
              </w:rPr>
            </w:pP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10000</w:t>
            </w:r>
          </w:p>
        </w:tc>
      </w:tr>
      <w:tr w:rsidR="00CE6A51" w:rsidRPr="00284926" w:rsidTr="00763E1E">
        <w:trPr>
          <w:jc w:val="center"/>
        </w:trPr>
        <w:tc>
          <w:tcPr>
            <w:tcW w:w="0" w:type="auto"/>
            <w:gridSpan w:val="5"/>
          </w:tcPr>
          <w:p w:rsidR="00CE6A51" w:rsidRPr="0028492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 w:rsidRPr="00284926">
              <w:rPr>
                <w:rFonts w:ascii="Times New Roman" w:eastAsia="方正仿宋简体" w:hAnsi="Times New Roman" w:hint="eastAsia"/>
                <w:sz w:val="24"/>
                <w:szCs w:val="28"/>
              </w:rPr>
              <w:t>合约调整后</w:t>
            </w:r>
          </w:p>
        </w:tc>
      </w:tr>
      <w:tr w:rsidR="00CE6A51" w:rsidRPr="00284926" w:rsidTr="00763E1E">
        <w:trPr>
          <w:jc w:val="center"/>
        </w:trPr>
        <w:tc>
          <w:tcPr>
            <w:tcW w:w="0" w:type="auto"/>
          </w:tcPr>
          <w:p w:rsidR="00CE6A51" w:rsidRPr="0051154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2"/>
                <w:szCs w:val="28"/>
              </w:rPr>
            </w:pP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90000291</w:t>
            </w:r>
          </w:p>
        </w:tc>
        <w:tc>
          <w:tcPr>
            <w:tcW w:w="0" w:type="auto"/>
          </w:tcPr>
          <w:p w:rsidR="00CE6A51" w:rsidRPr="0051154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2"/>
                <w:szCs w:val="28"/>
              </w:rPr>
            </w:pPr>
            <w:r w:rsidRPr="00511546">
              <w:rPr>
                <w:rFonts w:ascii="Times New Roman" w:eastAsia="方正仿宋简体" w:hAnsi="Times New Roman"/>
                <w:sz w:val="22"/>
                <w:szCs w:val="28"/>
              </w:rPr>
              <w:t>159919C2009M004</w:t>
            </w: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9</w:t>
            </w:r>
            <w:r w:rsidRPr="00511546">
              <w:rPr>
                <w:rFonts w:ascii="Times New Roman" w:eastAsia="方正仿宋简体" w:hAnsi="Times New Roman"/>
                <w:sz w:val="22"/>
                <w:szCs w:val="28"/>
              </w:rPr>
              <w:t>00</w:t>
            </w: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A</w:t>
            </w:r>
          </w:p>
        </w:tc>
        <w:tc>
          <w:tcPr>
            <w:tcW w:w="0" w:type="auto"/>
          </w:tcPr>
          <w:p w:rsidR="00CE6A51" w:rsidRPr="0051154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2"/>
                <w:szCs w:val="28"/>
              </w:rPr>
            </w:pP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300ETF</w:t>
            </w: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购</w:t>
            </w: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9</w:t>
            </w: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月</w:t>
            </w: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4746A</w:t>
            </w:r>
          </w:p>
        </w:tc>
        <w:tc>
          <w:tcPr>
            <w:tcW w:w="0" w:type="auto"/>
          </w:tcPr>
          <w:p w:rsidR="00CE6A51" w:rsidRPr="0051154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2"/>
                <w:szCs w:val="28"/>
              </w:rPr>
            </w:pP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4.746</w:t>
            </w:r>
          </w:p>
        </w:tc>
        <w:tc>
          <w:tcPr>
            <w:tcW w:w="0" w:type="auto"/>
          </w:tcPr>
          <w:p w:rsidR="00CE6A51" w:rsidRPr="00511546" w:rsidRDefault="00CE6A51" w:rsidP="00763E1E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22"/>
                <w:szCs w:val="28"/>
              </w:rPr>
            </w:pPr>
            <w:r w:rsidRPr="00511546">
              <w:rPr>
                <w:rFonts w:ascii="Times New Roman" w:eastAsia="方正仿宋简体" w:hAnsi="Times New Roman" w:hint="eastAsia"/>
                <w:sz w:val="22"/>
                <w:szCs w:val="28"/>
              </w:rPr>
              <w:t>10324</w:t>
            </w:r>
          </w:p>
        </w:tc>
      </w:tr>
    </w:tbl>
    <w:p w:rsidR="00CE6A51" w:rsidRPr="00284926" w:rsidRDefault="00CE6A51" w:rsidP="00CE6A51">
      <w:pPr>
        <w:spacing w:line="560" w:lineRule="exact"/>
        <w:ind w:firstLine="48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. 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问：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9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14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日嘉实沪深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如何加挂新的期权合约？</w:t>
      </w:r>
    </w:p>
    <w:p w:rsidR="00CE6A51" w:rsidRPr="00284926" w:rsidRDefault="00CE6A51" w:rsidP="00CE6A51">
      <w:pPr>
        <w:spacing w:line="560" w:lineRule="exact"/>
        <w:ind w:firstLine="48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本所将以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日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嘉实沪深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300ETF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除息后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收盘价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格（除息参考价）为基准，确定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平值期权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行权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价格，再依照行权价格间距依序加挂新行权价格合约，新挂合约包括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个行权价格（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个平值、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4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个实值、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4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个虚值），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个到期月份（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2020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年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9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月、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2020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年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0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月、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202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0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年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12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月和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2021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年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月），认购、认沽两种类型，共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72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个合约。新挂合约的合约单位均为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10000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份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</w:p>
    <w:p w:rsidR="00CE6A51" w:rsidRDefault="00CE6A51" w:rsidP="00CE6A51">
      <w:pPr>
        <w:spacing w:line="560" w:lineRule="exact"/>
        <w:ind w:firstLine="48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lastRenderedPageBreak/>
        <w:t>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. 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问：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9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14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日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，非标准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合约的涨跌停价格、开仓保证金如何计算？</w:t>
      </w:r>
    </w:p>
    <w:p w:rsidR="00CE6A51" w:rsidRPr="00284926" w:rsidRDefault="00CE6A51" w:rsidP="00CE6A51">
      <w:pPr>
        <w:spacing w:line="560" w:lineRule="exact"/>
        <w:ind w:firstLine="48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答：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9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14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日，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非标准合约涨跌停价格、开仓保证金计算公式不变，以调整后的合约单位及调整后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前结算价格作为计算依据。其中，调整后的合约前结算价格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=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原合约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前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结算价格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/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调整系数。</w:t>
      </w:r>
    </w:p>
    <w:p w:rsidR="00CE6A51" w:rsidRPr="00284926" w:rsidRDefault="00CE6A51" w:rsidP="00CE6A51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5. 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问：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9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11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日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日终备兑持仓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的期权投资者需要注意哪些问题？</w:t>
      </w:r>
    </w:p>
    <w:p w:rsidR="00CE6A51" w:rsidRDefault="00CE6A51" w:rsidP="00CE6A51">
      <w:pPr>
        <w:spacing w:line="560" w:lineRule="exact"/>
        <w:ind w:firstLine="480"/>
        <w:rPr>
          <w:rFonts w:ascii="Times New Roman" w:eastAsia="方正仿宋简体" w:hAnsi="Times New Roman" w:cs="Times New Roman"/>
          <w:sz w:val="28"/>
          <w:szCs w:val="28"/>
        </w:rPr>
      </w:pP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答：期权合约调整后，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非标准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合约单位会大于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10000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份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，备兑持仓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的投资者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会面临备兑证券不足的问题，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应在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日按非标准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合约单位及时补足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标的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证券或对不足部分自行平仓。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9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日日终，中国结算按非标准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合约单位对相应备兑证券进行交割锁定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备兑证券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锁定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不足的，中国结算将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备兑仓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不足部分转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为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普通仓，并收取相应维持保证金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。逾期未补足资金的，中国结算将在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日委托本所实施强行平仓。</w:t>
      </w:r>
    </w:p>
    <w:p w:rsidR="00CE6A51" w:rsidRDefault="00CE6A51" w:rsidP="00CE6A51">
      <w:pPr>
        <w:spacing w:line="560" w:lineRule="exact"/>
        <w:ind w:firstLine="555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6. 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问：持有非标准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合约的投资者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还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需要关注哪些问题？</w:t>
      </w:r>
    </w:p>
    <w:p w:rsidR="00CE6A51" w:rsidRDefault="00CE6A51" w:rsidP="00CE6A51">
      <w:pPr>
        <w:spacing w:line="560" w:lineRule="exact"/>
        <w:ind w:firstLine="555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答：期权合约发生调整后，本所不再对非标准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合约加挂新到期月份与行权价格的合约。另外，如出现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非标准</w:t>
      </w:r>
      <w:r w:rsidRPr="00284926">
        <w:rPr>
          <w:rFonts w:ascii="Times New Roman" w:eastAsia="方正仿宋简体" w:hAnsi="Times New Roman" w:cs="Times New Roman" w:hint="eastAsia"/>
          <w:sz w:val="28"/>
          <w:szCs w:val="28"/>
        </w:rPr>
        <w:t>合约的持仓数量日终为零的情形，本所于下一交易日对该合约予以摘牌。</w:t>
      </w:r>
    </w:p>
    <w:p w:rsidR="00CE6A51" w:rsidRDefault="00CE6A51" w:rsidP="00CE6A51">
      <w:pPr>
        <w:spacing w:line="560" w:lineRule="exact"/>
        <w:ind w:firstLine="555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7. 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问：深市期权合约调整规则与沪市是否一致？</w:t>
      </w:r>
    </w:p>
    <w:p w:rsidR="00CE6A51" w:rsidRDefault="00CE6A51" w:rsidP="00CE6A51">
      <w:pPr>
        <w:spacing w:line="560" w:lineRule="exact"/>
        <w:ind w:firstLine="555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答：大体一致，两所期权合约调整规则主要在备兑证券不足问题的处理上略有差异。</w:t>
      </w:r>
    </w:p>
    <w:p w:rsidR="00CF24AA" w:rsidRPr="00CE6A51" w:rsidRDefault="00CF24AA"/>
    <w:sectPr w:rsidR="00CF24AA" w:rsidRPr="00CE6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D3"/>
    <w:rsid w:val="0020392E"/>
    <w:rsid w:val="003D4CD3"/>
    <w:rsid w:val="00B509B0"/>
    <w:rsid w:val="00CE6A51"/>
    <w:rsid w:val="00C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E6A5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E6A5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王奕彬[ybwang]</dc:creator>
  <cp:keywords/>
  <dc:description/>
  <cp:lastModifiedBy>王奕彬[ybwang]</cp:lastModifiedBy>
  <cp:revision>3</cp:revision>
  <dcterms:created xsi:type="dcterms:W3CDTF">2020-08-27T15:43:00Z</dcterms:created>
  <dcterms:modified xsi:type="dcterms:W3CDTF">2020-08-28T01:07:00Z</dcterms:modified>
</cp:coreProperties>
</file>